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both"/>
        <w:rPr>
          <w:rFonts w:ascii="Times New Roman" w:hAnsi="Times New Roman" w:eastAsia="新細明體" w:cs="Times New Roman"/>
          <w:b/>
          <w:b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kern w:val="0"/>
          <w:sz w:val="26"/>
          <w:szCs w:val="26"/>
        </w:rPr>
        <w:t>附件</w:t>
      </w:r>
      <w:r>
        <w:rPr>
          <w:rFonts w:eastAsia="新細明體" w:cs="Times New Roman" w:ascii="Times New Roman" w:hAnsi="Times New Roman"/>
          <w:b/>
          <w:color w:val="000000"/>
          <w:kern w:val="0"/>
          <w:sz w:val="26"/>
          <w:szCs w:val="26"/>
        </w:rPr>
        <w:t xml:space="preserve">10 </w:t>
      </w:r>
      <w:r>
        <w:rPr>
          <w:rFonts w:ascii="Times New Roman" w:hAnsi="Times New Roman" w:cs="Times New Roman"/>
          <w:b/>
          <w:color w:val="000000"/>
          <w:kern w:val="0"/>
          <w:sz w:val="26"/>
          <w:szCs w:val="26"/>
        </w:rPr>
        <w:t>資安管理政策</w:t>
      </w:r>
    </w:p>
    <w:p>
      <w:pPr>
        <w:pStyle w:val="Normal"/>
        <w:widowControl/>
        <w:spacing w:before="240" w:after="240"/>
        <w:jc w:val="both"/>
        <w:rPr/>
      </w:pPr>
      <w:r>
        <w:rPr>
          <w:rFonts w:ascii="Times New Roman" w:hAnsi="Times New Roman" w:cs="Times New Roman"/>
          <w:color w:val="000000"/>
          <w:kern w:val="0"/>
          <w:szCs w:val="24"/>
        </w:rPr>
        <w:t>計畫名稱：</w:t>
      </w:r>
      <w:r>
        <w:rPr>
          <w:rFonts w:ascii="Times New Roman" w:hAnsi="Times New Roman" w:cs="Times New Roman"/>
          <w:color w:val="000000"/>
          <w:kern w:val="0"/>
          <w:szCs w:val="24"/>
          <w:u w:val="single"/>
        </w:rPr>
        <w:t xml:space="preserve">  </w:t>
      </w:r>
      <w:r>
        <w:rPr>
          <w:rFonts w:eastAsia="BiauKai" w:cs="Times New Roman" w:ascii="Times New Roman" w:hAnsi="Times New Roman"/>
          <w:color w:val="000000"/>
          <w:kern w:val="0"/>
          <w:szCs w:val="24"/>
          <w:u w:val="single"/>
        </w:rPr>
        <w:t xml:space="preserve">3M Maker: </w:t>
      </w:r>
      <w:r>
        <w:rPr>
          <w:rFonts w:ascii="Times New Roman" w:hAnsi="Times New Roman" w:cs="Times New Roman" w:eastAsia="BiauKai"/>
          <w:color w:val="000000"/>
          <w:kern w:val="0"/>
          <w:szCs w:val="24"/>
          <w:u w:val="single"/>
        </w:rPr>
        <w:t>使用多模式、多任務、多事例學習開發可信賴多媒體處理技術</w:t>
      </w:r>
      <w:r>
        <w:rPr>
          <w:rFonts w:eastAsia="新細明體" w:cs="Times New Roman" w:ascii="Times New Roman" w:hAnsi="Times New Roman"/>
          <w:color w:val="000000"/>
          <w:kern w:val="0"/>
          <w:szCs w:val="24"/>
          <w:u w:val="single"/>
        </w:rPr>
        <w:tab/>
      </w:r>
      <w:r>
        <w:rPr>
          <w:rFonts w:eastAsia="新細明體" w:cs="Times New Roman" w:ascii="Times New Roman" w:hAnsi="Times New Roman"/>
          <w:color w:val="000000"/>
          <w:kern w:val="0"/>
          <w:szCs w:val="24"/>
        </w:rPr>
        <w:t>(</w:t>
      </w:r>
      <w:r>
        <w:rPr>
          <w:rFonts w:ascii="Times New Roman" w:hAnsi="Times New Roman" w:cs="Times New Roman"/>
          <w:color w:val="000000"/>
          <w:kern w:val="0"/>
          <w:szCs w:val="24"/>
        </w:rPr>
        <w:t>下稱本計畫</w:t>
      </w:r>
      <w:r>
        <w:rPr>
          <w:rFonts w:eastAsia="新細明體" w:cs="Times New Roman" w:ascii="Times New Roman" w:hAnsi="Times New Roman"/>
          <w:color w:val="000000"/>
          <w:kern w:val="0"/>
          <w:szCs w:val="24"/>
        </w:rPr>
        <w:t>)</w:t>
      </w:r>
    </w:p>
    <w:p>
      <w:pPr>
        <w:pStyle w:val="Normal"/>
        <w:widowControl/>
        <w:spacing w:before="240" w:after="240"/>
        <w:jc w:val="both"/>
        <w:rPr/>
      </w:pPr>
      <w:r>
        <w:rPr>
          <w:rFonts w:ascii="Times New Roman" w:hAnsi="Times New Roman" w:cs="Times New Roman"/>
          <w:color w:val="000000"/>
          <w:kern w:val="0"/>
          <w:szCs w:val="24"/>
        </w:rPr>
        <w:t>計畫主持人：</w:t>
      </w:r>
      <w:r>
        <w:rPr>
          <w:rFonts w:ascii="Times New Roman" w:hAnsi="Times New Roman" w:cs="Times New Roman"/>
          <w:color w:val="000000"/>
          <w:kern w:val="0"/>
          <w:szCs w:val="24"/>
          <w:u w:val="singl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kern w:val="0"/>
          <w:szCs w:val="24"/>
          <w:u w:val="single"/>
        </w:rPr>
        <w:t> </w:t>
      </w:r>
      <w:r>
        <w:rPr>
          <w:rFonts w:ascii="新細明體" w:hAnsi="新細明體" w:cs="Times New Roman"/>
          <w:color w:val="000000"/>
          <w:kern w:val="0"/>
          <w:szCs w:val="24"/>
          <w:u w:val="single"/>
        </w:rPr>
        <w:t>廖弘源</w:t>
      </w:r>
      <w:r>
        <w:rPr>
          <w:rFonts w:eastAsia="新細明體" w:cs="Times New Roman" w:ascii="Times New Roman" w:hAnsi="Times New Roman"/>
          <w:color w:val="000000"/>
          <w:kern w:val="0"/>
          <w:szCs w:val="24"/>
          <w:u w:val="single"/>
        </w:rPr>
        <w:tab/>
      </w:r>
    </w:p>
    <w:p>
      <w:pPr>
        <w:pStyle w:val="Normal"/>
        <w:widowControl/>
        <w:spacing w:before="240" w:after="240"/>
        <w:jc w:val="both"/>
        <w:rPr/>
      </w:pPr>
      <w:r>
        <w:rPr>
          <w:rFonts w:ascii="Times New Roman" w:hAnsi="Times New Roman" w:cs="Times New Roman"/>
          <w:color w:val="000000"/>
          <w:kern w:val="0"/>
          <w:szCs w:val="24"/>
        </w:rPr>
        <w:t>填表人：陸玉霖</w:t>
      </w:r>
      <w:r>
        <w:rPr>
          <w:rFonts w:ascii="Times New Roman" w:hAnsi="Times New Roman" w:cs="Times New Roman"/>
          <w:color w:val="000000"/>
          <w:kern w:val="0"/>
          <w:szCs w:val="24"/>
          <w:u w:val="single"/>
        </w:rPr>
        <w:t xml:space="preserve"> </w:t>
      </w:r>
      <w:bookmarkStart w:id="0" w:name="_GoBack"/>
      <w:bookmarkEnd w:id="0"/>
    </w:p>
    <w:p>
      <w:pPr>
        <w:pStyle w:val="Normal"/>
        <w:widowControl/>
        <w:spacing w:before="240" w:after="240"/>
        <w:jc w:val="both"/>
        <w:rPr>
          <w:rFonts w:ascii="Times New Roman" w:hAnsi="Times New Roman" w:eastAsia="新細明體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填表日期： </w:t>
      </w:r>
      <w:r>
        <w:rPr>
          <w:rFonts w:eastAsia="新細明體" w:cs="Times New Roman" w:ascii="Times New Roman" w:hAnsi="Times New Roman"/>
          <w:color w:val="000000"/>
          <w:kern w:val="0"/>
          <w:szCs w:val="24"/>
        </w:rPr>
        <w:t xml:space="preserve">112 </w:t>
      </w:r>
      <w:r>
        <w:rPr>
          <w:rFonts w:ascii="Times New Roman" w:hAnsi="Times New Roman" w:cs="Times New Roman"/>
          <w:color w:val="000000"/>
          <w:kern w:val="0"/>
          <w:szCs w:val="24"/>
        </w:rPr>
        <w:t xml:space="preserve">年 </w:t>
      </w:r>
      <w:r>
        <w:rPr>
          <w:rFonts w:eastAsia="新細明體" w:cs="Times New Roman" w:ascii="Times New Roman" w:hAnsi="Times New Roman"/>
          <w:color w:val="000000"/>
          <w:kern w:val="0"/>
          <w:szCs w:val="24"/>
        </w:rPr>
        <w:t xml:space="preserve">5  </w:t>
      </w:r>
      <w:r>
        <w:rPr>
          <w:rFonts w:ascii="Times New Roman" w:hAnsi="Times New Roman" w:cs="Times New Roman"/>
          <w:color w:val="000000"/>
          <w:kern w:val="0"/>
          <w:szCs w:val="24"/>
        </w:rPr>
        <w:t>月</w:t>
      </w:r>
      <w:r>
        <w:rPr>
          <w:rFonts w:eastAsia="新細明體" w:cs="Times New Roman" w:ascii="Times New Roman" w:hAnsi="Times New Roman"/>
          <w:color w:val="000000"/>
          <w:kern w:val="0"/>
          <w:szCs w:val="24"/>
        </w:rPr>
        <w:t xml:space="preserve">5  </w:t>
      </w:r>
      <w:r>
        <w:rPr>
          <w:rFonts w:ascii="Times New Roman" w:hAnsi="Times New Roman" w:cs="Times New Roman"/>
          <w:color w:val="000000"/>
          <w:kern w:val="0"/>
          <w:szCs w:val="24"/>
        </w:rPr>
        <w:t>日</w:t>
      </w:r>
    </w:p>
    <w:p>
      <w:pPr>
        <w:pStyle w:val="Normal"/>
        <w:widowControl/>
        <w:spacing w:before="240" w:after="240"/>
        <w:jc w:val="both"/>
        <w:rPr>
          <w:rFonts w:ascii="Times New Roman" w:hAnsi="Times New Roman" w:eastAsia="新細明體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備註：下表一項資料集請填寫一份，表格不敷使用請自行增列。</w:t>
      </w:r>
    </w:p>
    <w:p>
      <w:pPr>
        <w:pStyle w:val="Normal"/>
        <w:widowControl/>
        <w:spacing w:before="240" w:after="240"/>
        <w:jc w:val="both"/>
        <w:rPr/>
      </w:pPr>
      <w:r>
        <w:rPr>
          <w:rFonts w:ascii="Times New Roman" w:hAnsi="Times New Roman" w:cs="Times New Roman"/>
          <w:b/>
          <w:bCs/>
          <w:color w:val="000000"/>
          <w:kern w:val="0"/>
          <w:szCs w:val="24"/>
          <w:highlight w:val="white"/>
        </w:rPr>
        <w:t>一、關於文件紀錄管控程序，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</w:rPr>
        <w:t>是否同意以下事項</w:t>
      </w:r>
      <w:r>
        <w:rPr>
          <w:rFonts w:ascii="Times New Roman" w:hAnsi="Times New Roman" w:cs="Times New Roman"/>
          <w:color w:val="000000"/>
          <w:kern w:val="0"/>
          <w:szCs w:val="24"/>
        </w:rPr>
        <w:t>：</w:t>
      </w:r>
    </w:p>
    <w:tbl>
      <w:tblPr>
        <w:tblW w:w="9629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7078"/>
        <w:gridCol w:w="2550"/>
      </w:tblGrid>
      <w:tr>
        <w:trPr/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是否同意</w:t>
            </w:r>
          </w:p>
        </w:tc>
      </w:tr>
      <w:tr>
        <w:trPr/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計畫團隊所建立的資安管理政策，應至少包括下列事項：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資訊資產管理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：建立資訊資產管理程序，識別計畫團隊之資訊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b/>
                <w:bCs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資產與定義適當之保護責任。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資安風險評鑑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：建立資安風險評鑑程序，識別、分析並評估計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畫團隊之資訊資產與使用情境可能產生的資安風險。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(3)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資安風險處理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：建立風險處理程序，針對資安風險評鑑結果，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選擇適切的風險處理方式，並採取必要的控制措施。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資安事故管理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：建立資安事故管理程序，確保計畫團隊對資安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事故作出迅速且有效的回應。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     □ 不同意</w:t>
            </w:r>
          </w:p>
        </w:tc>
      </w:tr>
    </w:tbl>
    <w:p>
      <w:pPr>
        <w:pStyle w:val="Normal"/>
        <w:widowControl/>
        <w:jc w:val="both"/>
        <w:rPr>
          <w:rFonts w:ascii="Times New Roman" w:hAnsi="Times New Roman" w:eastAsia="新細明體" w:cs="Times New Roman"/>
          <w:kern w:val="0"/>
          <w:szCs w:val="24"/>
        </w:rPr>
      </w:pPr>
      <w:r>
        <w:rPr>
          <w:rFonts w:eastAsia="新細明體" w:cs="Times New Roman" w:ascii="Times New Roman" w:hAnsi="Times New Roman"/>
          <w:kern w:val="0"/>
          <w:szCs w:val="24"/>
        </w:rPr>
      </w:r>
    </w:p>
    <w:p>
      <w:pPr>
        <w:pStyle w:val="Normal"/>
        <w:widowControl/>
        <w:spacing w:before="240" w:after="240"/>
        <w:jc w:val="both"/>
        <w:rPr/>
      </w:pPr>
      <w:r>
        <w:rPr>
          <w:rFonts w:ascii="Times New Roman" w:hAnsi="Times New Roman" w:cs="Times New Roman"/>
          <w:b/>
          <w:bCs/>
          <w:color w:val="000000"/>
          <w:kern w:val="0"/>
          <w:szCs w:val="24"/>
          <w:highlight w:val="white"/>
        </w:rPr>
        <w:t>二、關於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</w:rPr>
        <w:t>資訊資產管理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  <w:highlight w:val="white"/>
        </w:rPr>
        <w:t>，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</w:rPr>
        <w:t>是否同意以下事項</w:t>
      </w:r>
      <w:r>
        <w:rPr>
          <w:rFonts w:ascii="Times New Roman" w:hAnsi="Times New Roman" w:cs="Times New Roman"/>
          <w:color w:val="000000"/>
          <w:kern w:val="0"/>
          <w:szCs w:val="24"/>
        </w:rPr>
        <w:t>：</w:t>
      </w:r>
    </w:p>
    <w:tbl>
      <w:tblPr>
        <w:tblW w:w="9726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7076"/>
        <w:gridCol w:w="2649"/>
      </w:tblGrid>
      <w:tr>
        <w:trPr/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是否同意</w:t>
            </w:r>
          </w:p>
        </w:tc>
      </w:tr>
      <w:tr>
        <w:trPr/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計畫團隊應識別計畫執行所需資訊及資訊處理設施之相關資產，進行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資訊資產的敏感性分級、分類或標示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，並將識別結果加以記錄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     □ 不同意</w:t>
            </w:r>
          </w:p>
        </w:tc>
      </w:tr>
      <w:tr>
        <w:trPr/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計畫團隊應給予資訊資產符合其敏感性等級的適切保護，應關注之事項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包括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但</w:t>
            </w:r>
            <w:r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不限於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資訊資產的存取權限配置與控管、使用者身分認證，以及密碼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與金鑰管理。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資訊儲存裝置之使用與控管，例如：隨身硬碟、行動硬碟等可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卸除式媒介，以及筆記型電腦、手機等行動裝置。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(3)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資訊處理之實體環境安全與控管。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(4)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惡意軟體之偵測與防範。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(5)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資訊傳輸之安全與控管。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     □ 不同意</w:t>
            </w:r>
          </w:p>
        </w:tc>
      </w:tr>
    </w:tbl>
    <w:p>
      <w:pPr>
        <w:pStyle w:val="Normal"/>
        <w:widowControl/>
        <w:spacing w:before="0" w:after="240"/>
        <w:jc w:val="both"/>
        <w:rPr>
          <w:rFonts w:ascii="Times New Roman" w:hAnsi="Times New Roman" w:eastAsia="新細明體" w:cs="Times New Roman"/>
          <w:kern w:val="0"/>
          <w:szCs w:val="24"/>
        </w:rPr>
      </w:pPr>
      <w:r>
        <w:rPr>
          <w:rFonts w:eastAsia="新細明體" w:cs="Times New Roman" w:ascii="Times New Roman" w:hAnsi="Times New Roman"/>
          <w:kern w:val="0"/>
          <w:szCs w:val="24"/>
        </w:rPr>
      </w:r>
    </w:p>
    <w:p>
      <w:pPr>
        <w:pStyle w:val="Normal"/>
        <w:widowControl/>
        <w:spacing w:before="240" w:after="240"/>
        <w:jc w:val="both"/>
        <w:rPr/>
      </w:pPr>
      <w:r>
        <w:rPr>
          <w:rFonts w:ascii="Times New Roman" w:hAnsi="Times New Roman" w:cs="Times New Roman"/>
          <w:b/>
          <w:bCs/>
          <w:color w:val="000000"/>
          <w:kern w:val="0"/>
          <w:szCs w:val="24"/>
          <w:highlight w:val="white"/>
        </w:rPr>
        <w:t>三、關於資安風險評鑑，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</w:rPr>
        <w:t>是否同意以下事項</w:t>
      </w:r>
      <w:r>
        <w:rPr>
          <w:rFonts w:ascii="Times New Roman" w:hAnsi="Times New Roman" w:cs="Times New Roman"/>
          <w:color w:val="000000"/>
          <w:kern w:val="0"/>
          <w:szCs w:val="24"/>
        </w:rPr>
        <w:t>：</w:t>
      </w:r>
    </w:p>
    <w:tbl>
      <w:tblPr>
        <w:tblW w:w="9913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6086"/>
        <w:gridCol w:w="3826"/>
      </w:tblGrid>
      <w:tr>
        <w:trPr/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是否同意</w:t>
            </w:r>
          </w:p>
        </w:tc>
      </w:tr>
      <w:tr>
        <w:trPr/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應識別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分析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評估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計畫執行過程中，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可能造成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資訊資產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失去機密性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、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完整性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及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可用性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之相關風險。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     □ 不同意</w:t>
            </w:r>
          </w:p>
        </w:tc>
      </w:tr>
      <w:tr>
        <w:trPr/>
        <w:tc>
          <w:tcPr>
            <w:tcW w:w="6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承上，常見的風險評鑑流程如下：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(1)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建立風險準則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：包括風險接受準則、履行資安風險評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   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鑑之準則。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(2)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風險識別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，而常見的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風險類別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包括：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    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A.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人為：包含因人員有意或無意行為、人力資源管理不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當所產生的風險。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B.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文件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資料：包含資料、文件的建立、維護、控管、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傳遞不當所產生的風險。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C.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軟體：包含系統設計、維護、操作不當所產生的風險。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D.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硬體：包含所有硬體設施之失效、毀損等可能風險。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 xml:space="preserve"> 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E.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通訊：包含資料、影像、聲音傳輸媒介失效所可能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      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產生的風險。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F.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環境：包含天災、供水或用電等整體資訊環境可能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      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發生的風險。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(3)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風險分析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：依風險識別結果，分析風險發生的可能性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   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與可能導致的潛在後果（或嚴重程度），並決定風險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   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等級。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(4)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風險評估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：依風險準則，比較風險分析結果，訂定風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   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險處理優先順序。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     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不同意，本團隊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不同意之處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為：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__________________________________________________________________________________________</w:t>
            </w:r>
          </w:p>
          <w:p>
            <w:pPr>
              <w:pStyle w:val="Normal"/>
              <w:widowControl/>
              <w:rPr>
                <w:rFonts w:ascii="Times New Roman" w:hAnsi="Times New Roman" w:eastAsia="新細明體" w:cs="Times New Roman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kern w:val="0"/>
                <w:szCs w:val="24"/>
              </w:rPr>
            </w:r>
          </w:p>
          <w:p>
            <w:pPr>
              <w:pStyle w:val="Normal"/>
              <w:widowControl/>
              <w:spacing w:lineRule="auto" w:line="276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本團隊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採取之資安風險評鑑措施（必填）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遵照流程建立風險準則、風險識別、風險分析及風險評估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Normal"/>
        <w:widowControl/>
        <w:spacing w:before="0" w:after="240"/>
        <w:jc w:val="both"/>
        <w:rPr>
          <w:rFonts w:ascii="Times New Roman" w:hAnsi="Times New Roman" w:eastAsia="新細明體" w:cs="Times New Roman"/>
          <w:kern w:val="0"/>
          <w:szCs w:val="24"/>
        </w:rPr>
      </w:pPr>
      <w:r>
        <w:rPr>
          <w:rFonts w:eastAsia="新細明體" w:cs="Times New Roman" w:ascii="Times New Roman" w:hAnsi="Times New Roman"/>
          <w:kern w:val="0"/>
          <w:szCs w:val="24"/>
        </w:rPr>
      </w:r>
    </w:p>
    <w:p>
      <w:pPr>
        <w:pStyle w:val="Normal"/>
        <w:widowControl/>
        <w:spacing w:before="240" w:after="240"/>
        <w:jc w:val="both"/>
        <w:rPr/>
      </w:pPr>
      <w:r>
        <w:rPr>
          <w:rFonts w:ascii="Times New Roman" w:hAnsi="Times New Roman" w:cs="Times New Roman"/>
          <w:b/>
          <w:bCs/>
          <w:color w:val="000000"/>
          <w:kern w:val="0"/>
          <w:szCs w:val="24"/>
          <w:highlight w:val="white"/>
        </w:rPr>
        <w:t>四、關於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</w:rPr>
        <w:t>資安風險處理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  <w:highlight w:val="white"/>
        </w:rPr>
        <w:t>，</w:t>
      </w:r>
      <w:r>
        <w:rPr>
          <w:rFonts w:ascii="Times New Roman" w:hAnsi="Times New Roman" w:cs="Times New Roman"/>
          <w:b/>
          <w:bCs/>
          <w:color w:val="000000"/>
          <w:kern w:val="0"/>
          <w:szCs w:val="24"/>
        </w:rPr>
        <w:t>是否同意以下事項</w:t>
      </w:r>
      <w:r>
        <w:rPr>
          <w:rFonts w:ascii="Times New Roman" w:hAnsi="Times New Roman" w:cs="Times New Roman"/>
          <w:color w:val="000000"/>
          <w:kern w:val="0"/>
          <w:szCs w:val="24"/>
        </w:rPr>
        <w:t>：</w:t>
      </w:r>
    </w:p>
    <w:tbl>
      <w:tblPr>
        <w:tblW w:w="9726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6084"/>
        <w:gridCol w:w="3641"/>
      </w:tblGrid>
      <w:tr>
        <w:trPr/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是否同意</w:t>
            </w:r>
          </w:p>
        </w:tc>
      </w:tr>
      <w:tr>
        <w:trPr/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計畫團隊應考量風險評鑑結果，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選擇適切的風險處理選項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，並對這些選項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設定必須的控制措施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或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訂定風險處理計畫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。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kern w:val="0"/>
                <w:szCs w:val="24"/>
              </w:rPr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     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不同意，本團隊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不同意之處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為：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br/>
              <w:t>____________________________________________________________________________________</w:t>
            </w:r>
          </w:p>
        </w:tc>
      </w:tr>
      <w:tr>
        <w:trPr/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承上，常見之風險處理選項包含四大類型：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textAlignment w:val="baseline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風險降低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(risk reduction)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：透過適當控制措施降低風險，若決定控制措施後，仍存在一些殘餘風險，應判斷是否可接受，如殘餘風險不可接受，應透過其他控制措施進一步解決。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textAlignment w:val="baseline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風險保留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(risk retention)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：若風險評估結果在風險準則可容忍範圍，則不需採行額外控制措施而能保留或接受風險。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textAlignment w:val="baseline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風險避免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(risk avoidance)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：當所識別的風險被認為太高時，應決定完全避免風險，退出已規劃或既有的資料處理活動，或變更活動運作的條件。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76"/>
              <w:jc w:val="both"/>
              <w:textAlignment w:val="baseline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風險轉移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(risk transfer)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：可決定與外界分擔某些風險，不過應注意風險轉移可能產生新的風險，或改變既有已識別的風險，且不應將重大風險轉嫁給資料當事人。</w:t>
            </w:r>
          </w:p>
        </w:tc>
        <w:tc>
          <w:tcPr>
            <w:tcW w:w="3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同意    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br/>
              <w:t xml:space="preserve">□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不同意，本團隊所採取之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其他風險處理選項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為：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br/>
              <w:t>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kern w:val="0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="240" w:after="240"/>
        <w:jc w:val="both"/>
        <w:rPr/>
      </w:pPr>
      <w:r>
        <w:rPr>
          <w:rFonts w:ascii="Times New Roman" w:hAnsi="Times New Roman" w:cs="Times New Roman"/>
          <w:b/>
          <w:bCs/>
          <w:color w:val="000000"/>
          <w:highlight w:val="white"/>
        </w:rPr>
        <w:t>五、關於</w:t>
      </w:r>
      <w:r>
        <w:rPr>
          <w:rFonts w:ascii="Times New Roman" w:hAnsi="Times New Roman" w:cs="Times New Roman"/>
          <w:b/>
          <w:bCs/>
          <w:color w:val="000000"/>
        </w:rPr>
        <w:t>資安事故管理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，</w:t>
      </w:r>
      <w:r>
        <w:rPr>
          <w:rFonts w:ascii="Times New Roman" w:hAnsi="Times New Roman" w:cs="Times New Roman"/>
          <w:b/>
          <w:bCs/>
          <w:color w:val="000000"/>
        </w:rPr>
        <w:t>是否同意以下事項</w:t>
      </w:r>
      <w:r>
        <w:rPr>
          <w:rFonts w:ascii="Times New Roman" w:hAnsi="Times New Roman" w:cs="Times New Roman"/>
          <w:color w:val="000000"/>
        </w:rPr>
        <w:t>：</w:t>
      </w:r>
    </w:p>
    <w:p>
      <w:pPr>
        <w:pStyle w:val="NormalWeb"/>
        <w:spacing w:before="240" w:after="24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tbl>
      <w:tblPr>
        <w:tblW w:w="9639" w:type="dxa"/>
        <w:jc w:val="lef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5387"/>
        <w:gridCol w:w="4251"/>
      </w:tblGrid>
      <w:tr>
        <w:trPr/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-10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是否同意</w:t>
            </w:r>
          </w:p>
        </w:tc>
      </w:tr>
      <w:tr>
        <w:trPr/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計畫團隊應建立有效的管理程序，確保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對資安事故作出迅速且有效的回應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-10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     □ 不同意</w:t>
            </w:r>
          </w:p>
        </w:tc>
      </w:tr>
      <w:tr>
        <w:trPr>
          <w:trHeight w:val="5440" w:hRule="atLeast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承上，資安事故管理程序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應考量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(1)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資安事件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通報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：當發現異常情況或疑似資安事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件時，應依事件等級，依循適切的管道、時間，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對相關利害關係人進行通報，並研判該事件是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否歸類為資安事故。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(2)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資安事故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回應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：對資安事故進行危機應變處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理，並回覆相關利害關係人。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(3)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證據保存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：蒐集、取得與保存可作為證據的相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關資訊。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(4)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檢討與改善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：從分析及解決資安事故的經驗中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學習，進行事故成因檢討，改善資安管理作為，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並避免類似情況重複發生。</w:t>
            </w:r>
          </w:p>
          <w:p>
            <w:pPr>
              <w:pStyle w:val="Normal"/>
              <w:widowControl/>
              <w:spacing w:before="0" w:after="240"/>
              <w:jc w:val="both"/>
              <w:rPr>
                <w:rFonts w:ascii="Times New Roman" w:hAnsi="Times New Roman" w:eastAsia="新細明體" w:cs="Times New Roman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kern w:val="0"/>
                <w:szCs w:val="24"/>
              </w:rPr>
              <w:br/>
            </w:r>
          </w:p>
        </w:tc>
        <w:tc>
          <w:tcPr>
            <w:tcW w:w="4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15" w:type="dxa"/>
              <w:left w:w="-10" w:type="dxa"/>
              <w:bottom w:w="15" w:type="dxa"/>
              <w:right w:w="15" w:type="dxa"/>
            </w:tcMar>
          </w:tcPr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     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□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不同意，本團隊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不同意之處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為：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________________________________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________________________________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________________________________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</w:p>
          <w:p>
            <w:pPr>
              <w:pStyle w:val="Normal"/>
              <w:widowControl/>
              <w:spacing w:lineRule="auto" w:line="276"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本團隊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所採取之資安事故管理程序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：</w:t>
            </w:r>
          </w:p>
          <w:p>
            <w:pPr>
              <w:pStyle w:val="Normal"/>
              <w:widowControl/>
              <w:spacing w:lineRule="auto" w:line="276"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□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依學校規定的資安事故管理程序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辦理</w:t>
            </w:r>
          </w:p>
          <w:p>
            <w:pPr>
              <w:pStyle w:val="Normal"/>
              <w:widowControl/>
              <w:spacing w:lineRule="auto" w:line="276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其他：  </w:t>
            </w:r>
          </w:p>
          <w:p>
            <w:pPr>
              <w:pStyle w:val="Normal"/>
              <w:widowControl/>
              <w:spacing w:lineRule="auto" w:line="276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依中研院規定的資安事故管理程序</w:t>
            </w:r>
          </w:p>
          <w:p>
            <w:pPr>
              <w:pStyle w:val="Normal"/>
              <w:widowControl/>
              <w:spacing w:lineRule="auto" w:line="276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辦理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_____________________________</w:t>
            </w:r>
          </w:p>
          <w:p>
            <w:pPr>
              <w:pStyle w:val="Normal"/>
              <w:widowControl/>
              <w:spacing w:lineRule="auto" w:line="276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________________________________</w:t>
            </w:r>
          </w:p>
          <w:p>
            <w:pPr>
              <w:pStyle w:val="Normal"/>
              <w:widowControl/>
              <w:spacing w:lineRule="auto" w:line="276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________________________________</w:t>
            </w:r>
          </w:p>
        </w:tc>
      </w:tr>
    </w:tbl>
    <w:p>
      <w:pPr>
        <w:pStyle w:val="Normal"/>
        <w:jc w:val="both"/>
        <w:rPr/>
      </w:pPr>
      <w:r>
        <w:rPr>
          <w:rFonts w:eastAsia="新細明體" w:cs="Times New Roman" w:ascii="Times New Roman" w:hAnsi="Times New Roman"/>
          <w:kern w:val="0"/>
          <w:szCs w:val="24"/>
        </w:rPr>
        <w:b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新細明體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DejaVu Sans"/>
        <w:kern w:val="2"/>
        <w:sz w:val="20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Calibri" w:hAnsi="Calibri" w:eastAsia="新細明體" w:cs="DejaVu Sans"/>
      <w:color w:val="auto"/>
      <w:kern w:val="2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Appletabspan">
    <w:name w:val="apple-tab-span"/>
    <w:basedOn w:val="DefaultParagraph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新細明體" w:hAnsi="新細明體" w:eastAsia="新細明體" w:cs="新細明體"/>
      <w:kern w:val="0"/>
      <w:szCs w:val="24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4</Pages>
  <Words>1813</Words>
  <Characters>2632</Characters>
  <CharactersWithSpaces>2846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2022-05-23T10:08:00Z</dcterms:created>
  <dc:creator>Chia-Yun Hsieh</dc:creator>
  <dc:description/>
  <dc:language>en-US</dc:language>
  <cp:lastModifiedBy/>
  <dcterms:modified xsi:type="dcterms:W3CDTF">2023-05-05T13:33:34Z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